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595959" w:val="clear"/>
        <w:tabs>
          <w:tab w:val="center" w:leader="none" w:pos="4419"/>
          <w:tab w:val="right" w:leader="none" w:pos="8838"/>
          <w:tab w:val="left" w:leader="none" w:pos="720"/>
        </w:tabs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93cddc"/>
          <w:sz w:val="20"/>
          <w:szCs w:val="20"/>
          <w:rtl w:val="0"/>
        </w:rPr>
        <w:t xml:space="preserve">REMEDIACIÓN APROBADA CON ACTO ADMINISTRATIVO</w:t>
      </w:r>
    </w:p>
    <w:p w:rsidR="00000000" w:rsidDel="00000000" w:rsidP="00000000" w:rsidRDefault="00000000" w:rsidRPr="00000000" w14:paraId="00000002">
      <w:pPr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0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1: PRESENTACIÓN DE MONITOREOS CON TAREAS DE REMEDIACIÓN</w:t>
            </w:r>
          </w:p>
          <w:p w:rsidR="00000000" w:rsidDel="00000000" w:rsidP="00000000" w:rsidRDefault="00000000" w:rsidRPr="00000000" w14:paraId="0000000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888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2067"/>
        <w:gridCol w:w="2068"/>
        <w:gridCol w:w="2068"/>
        <w:tblGridChange w:id="0">
          <w:tblGrid>
            <w:gridCol w:w="3686"/>
            <w:gridCol w:w="2067"/>
            <w:gridCol w:w="2068"/>
            <w:gridCol w:w="206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6dde8" w:val="clear"/>
          </w:tcPr>
          <w:p w:rsidR="00000000" w:rsidDel="00000000" w:rsidP="00000000" w:rsidRDefault="00000000" w:rsidRPr="00000000" w14:paraId="00000007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2: PROFESIONAL INTERVINIENTE INSCRIPTO</w:t>
            </w:r>
          </w:p>
          <w:p w:rsidR="00000000" w:rsidDel="00000000" w:rsidP="00000000" w:rsidRDefault="00000000" w:rsidRPr="00000000" w14:paraId="0000000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Número de Registro (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RUPAYAR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Vigencia de la inscripción del Profesional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Profesión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Datos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Domicilio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Empresa Remediadora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 / Domicilio Legal</w:t>
            </w:r>
          </w:p>
        </w:tc>
      </w:tr>
    </w:tbl>
    <w:p w:rsidR="00000000" w:rsidDel="00000000" w:rsidP="00000000" w:rsidRDefault="00000000" w:rsidRPr="00000000" w14:paraId="0000002C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177.00000000000017" w:tblpY="695.2869364420576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6237"/>
        <w:tblGridChange w:id="0">
          <w:tblGrid>
            <w:gridCol w:w="3652"/>
            <w:gridCol w:w="623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037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3: REMEDIACIÓN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 de estudio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Periodo de Informe N°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 de Inicio de las tareas de remediación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Tareas realizadas en este periodo de estudio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Tareas en detalle realizadas INDICANDO FECHA para cada una: Eventos de inyección (concentración, duración, alcance), bombeo (caudal, duración), purga, etc.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Pozos de Remediación operativos (discriminar de extracción / inyección). 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Indicar en un Plano la conexión al equipo de remediación. 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Pozos de Monitoreo operativos.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Indicar y acreditar*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La gestión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del efluente/residuo líquido.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Indicar, acreditar*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gestión de los residuos generados, discriminando qué tipo de residuos se emplearon, acumulan y/o retiran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Permiso de vuelco vigente (ADA)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Auditoría de Seguridad vigente (SEN)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Observaciones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Verdana" w:cs="Verdana" w:eastAsia="Verdana" w:hAnsi="Verdana"/>
          <w:sz w:val="20"/>
          <w:szCs w:val="20"/>
        </w:rPr>
        <w:sectPr>
          <w:headerReference r:id="rId6" w:type="default"/>
          <w:footerReference r:id="rId7" w:type="default"/>
          <w:pgSz w:h="16838" w:w="11906" w:orient="portrait"/>
          <w:pgMar w:bottom="567" w:top="567" w:left="567" w:right="567" w:header="567" w:footer="567"/>
          <w:pgNumType w:start="1"/>
        </w:sect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Acreditar en formato tabla, donde se consignen los números de manifiesto de transporte, certificado de tratamiento y disposición final junto con la empresa interviniente y la fecha de retiro.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Datos del Recurso Hídrico.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line="340" w:lineRule="auto"/>
        <w:ind w:left="108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</w:t>
      </w:r>
    </w:p>
    <w:p w:rsidR="00000000" w:rsidDel="00000000" w:rsidP="00000000" w:rsidRDefault="00000000" w:rsidRPr="00000000" w14:paraId="00000061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9"/>
        <w:gridCol w:w="801"/>
        <w:gridCol w:w="1416"/>
        <w:gridCol w:w="1416"/>
        <w:gridCol w:w="1585"/>
        <w:gridCol w:w="1176"/>
        <w:gridCol w:w="1176"/>
        <w:tblGridChange w:id="0">
          <w:tblGrid>
            <w:gridCol w:w="1749"/>
            <w:gridCol w:w="801"/>
            <w:gridCol w:w="1416"/>
            <w:gridCol w:w="1416"/>
            <w:gridCol w:w="1585"/>
            <w:gridCol w:w="1176"/>
            <w:gridCol w:w="117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Identificación</w:t>
            </w:r>
          </w:p>
          <w:p w:rsidR="00000000" w:rsidDel="00000000" w:rsidP="00000000" w:rsidRDefault="00000000" w:rsidRPr="00000000" w14:paraId="00000063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 la medida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*1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6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del acuífero</w:t>
            </w:r>
          </w:p>
          <w:p w:rsidR="00000000" w:rsidDel="00000000" w:rsidP="00000000" w:rsidRDefault="00000000" w:rsidRPr="00000000" w14:paraId="00000067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(mbbp)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 *2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69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 la FLNA</w:t>
            </w:r>
          </w:p>
          <w:p w:rsidR="00000000" w:rsidDel="00000000" w:rsidP="00000000" w:rsidRDefault="00000000" w:rsidRPr="00000000" w14:paraId="0000006A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6C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del acuífero</w:t>
            </w:r>
          </w:p>
          <w:p w:rsidR="00000000" w:rsidDel="00000000" w:rsidP="00000000" w:rsidRDefault="00000000" w:rsidRPr="00000000" w14:paraId="0000006D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corregida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*3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(mbbp)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Cota</w:t>
            </w:r>
          </w:p>
          <w:p w:rsidR="00000000" w:rsidDel="00000000" w:rsidP="00000000" w:rsidRDefault="00000000" w:rsidRPr="00000000" w14:paraId="00000070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 *4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Cota del acuífero </w:t>
            </w:r>
          </w:p>
          <w:p w:rsidR="00000000" w:rsidDel="00000000" w:rsidP="00000000" w:rsidRDefault="00000000" w:rsidRPr="00000000" w14:paraId="00000072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 *5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82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Promedio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*1: La identificación de la medida/pozo en Tabla debe ser la misma que en Plano; *3: Profundidad del acuífero corregida por presencia de FLNA; *4: Cota asignada a boca de pozo; *5: Profundidad del acuífero corregida por cota asignada a partir de la cual se hace el mapa equipotencial.</w:t>
      </w:r>
    </w:p>
    <w:p w:rsidR="00000000" w:rsidDel="00000000" w:rsidP="00000000" w:rsidRDefault="00000000" w:rsidRPr="00000000" w14:paraId="0000008A">
      <w:pPr>
        <w:spacing w:after="0" w:line="3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40" w:lineRule="auto"/>
        <w:ind w:left="709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B. Indicar el o los acuíferos en estudio (freático, base del Pampeano, Puelches)(*2)</w:t>
      </w:r>
    </w:p>
    <w:p w:rsidR="00000000" w:rsidDel="00000000" w:rsidP="00000000" w:rsidRDefault="00000000" w:rsidRPr="00000000" w14:paraId="0000008C">
      <w:pPr>
        <w:shd w:fill="d9d9d9" w:val="clear"/>
        <w:spacing w:after="0" w:line="340" w:lineRule="auto"/>
        <w:ind w:left="360" w:firstLine="0"/>
        <w:rPr>
          <w:rFonts w:ascii="Verdana" w:cs="Verdana" w:eastAsia="Verdana" w:hAnsi="Verdana"/>
          <w:sz w:val="20"/>
          <w:szCs w:val="20"/>
        </w:rPr>
        <w:sectPr>
          <w:type w:val="nextPage"/>
          <w:pgSz w:h="11906" w:w="16838" w:orient="landscape"/>
          <w:pgMar w:bottom="1418" w:top="1701" w:left="1134" w:right="1134" w:header="567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Muestreo en agua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0"/>
          <w:szCs w:val="20"/>
          <w:rtl w:val="0"/>
        </w:rPr>
        <w:t xml:space="preserve">in situ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E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 Previo y después de cada evento de inyección.</w:t>
      </w:r>
    </w:p>
    <w:p w:rsidR="00000000" w:rsidDel="00000000" w:rsidP="00000000" w:rsidRDefault="00000000" w:rsidRPr="00000000" w14:paraId="0000008F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0"/>
        <w:gridCol w:w="1740"/>
        <w:gridCol w:w="2600"/>
        <w:gridCol w:w="2600"/>
        <w:gridCol w:w="2500"/>
        <w:tblGridChange w:id="0">
          <w:tblGrid>
            <w:gridCol w:w="1880"/>
            <w:gridCol w:w="1740"/>
            <w:gridCol w:w="2600"/>
            <w:gridCol w:w="2600"/>
            <w:gridCol w:w="250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Parámetro</w:t>
            </w:r>
          </w:p>
          <w:p w:rsidR="00000000" w:rsidDel="00000000" w:rsidP="00000000" w:rsidRDefault="00000000" w:rsidRPr="00000000" w14:paraId="00000091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Límite de cuantificación del método empleado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2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Resultado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Resultado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Resultado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Temperatura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Oxígeno disuelto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Potencial Redox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Conductividad específica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3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Características organolépticas a mencionar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(olor leve, olor intenso, color, película oleosa,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Indicada en la resolución / disposición.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Muestreo en agua.</w:t>
      </w:r>
    </w:p>
    <w:p w:rsidR="00000000" w:rsidDel="00000000" w:rsidP="00000000" w:rsidRDefault="00000000" w:rsidRPr="00000000" w14:paraId="000000CB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</w:t>
      </w:r>
    </w:p>
    <w:p w:rsidR="00000000" w:rsidDel="00000000" w:rsidP="00000000" w:rsidRDefault="00000000" w:rsidRPr="00000000" w14:paraId="000000CC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0"/>
        <w:gridCol w:w="1580"/>
        <w:gridCol w:w="2360"/>
        <w:gridCol w:w="2340"/>
        <w:gridCol w:w="2460"/>
        <w:gridCol w:w="880"/>
        <w:tblGridChange w:id="0">
          <w:tblGrid>
            <w:gridCol w:w="1720"/>
            <w:gridCol w:w="1580"/>
            <w:gridCol w:w="2360"/>
            <w:gridCol w:w="2340"/>
            <w:gridCol w:w="2460"/>
            <w:gridCol w:w="8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Sustancia</w:t>
            </w:r>
          </w:p>
          <w:p w:rsidR="00000000" w:rsidDel="00000000" w:rsidP="00000000" w:rsidRDefault="00000000" w:rsidRPr="00000000" w14:paraId="000000C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Límite de cuantificación del método empleado</w:t>
            </w:r>
          </w:p>
          <w:p w:rsidR="00000000" w:rsidDel="00000000" w:rsidP="00000000" w:rsidRDefault="00000000" w:rsidRPr="00000000" w14:paraId="000000D0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(mg/l)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1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2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3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Nivel Guía</w:t>
            </w:r>
          </w:p>
          <w:p w:rsidR="00000000" w:rsidDel="00000000" w:rsidP="00000000" w:rsidRDefault="00000000" w:rsidRPr="00000000" w14:paraId="000000D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Protocolo de informe y Cadena de Custodia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Protocolo de informe y Cadena de Custodia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0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Protocolo de informe y Cadena de Custodia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E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(mg/l)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C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ED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(mg/l)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E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(mg/l)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Características organolépticas a mencionar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(olor leve, olor intenso, color, película oleosa,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  <w:sectPr>
          <w:type w:val="nextPage"/>
          <w:pgSz w:h="11906" w:w="16838" w:orient="landscape"/>
          <w:pgMar w:bottom="1418" w:top="1701" w:left="1134" w:right="1134" w:header="567" w:footer="1134"/>
        </w:sect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Indicada en la resolución / disposición.</w:t>
      </w:r>
    </w:p>
    <w:p w:rsidR="00000000" w:rsidDel="00000000" w:rsidP="00000000" w:rsidRDefault="00000000" w:rsidRPr="00000000" w14:paraId="00000104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Muestreo en suelo.</w:t>
      </w:r>
    </w:p>
    <w:p w:rsidR="00000000" w:rsidDel="00000000" w:rsidP="00000000" w:rsidRDefault="00000000" w:rsidRPr="00000000" w14:paraId="00000105">
      <w:pPr>
        <w:spacing w:after="0" w:line="340" w:lineRule="auto"/>
        <w:ind w:left="70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</w:t>
      </w:r>
    </w:p>
    <w:p w:rsidR="00000000" w:rsidDel="00000000" w:rsidP="00000000" w:rsidRDefault="00000000" w:rsidRPr="00000000" w14:paraId="00000106">
      <w:pPr>
        <w:spacing w:after="0" w:line="340" w:lineRule="auto"/>
        <w:ind w:left="70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1560"/>
        <w:gridCol w:w="2320"/>
        <w:gridCol w:w="2400"/>
        <w:gridCol w:w="2320"/>
        <w:gridCol w:w="1040"/>
        <w:tblGridChange w:id="0">
          <w:tblGrid>
            <w:gridCol w:w="1680"/>
            <w:gridCol w:w="1560"/>
            <w:gridCol w:w="2320"/>
            <w:gridCol w:w="2400"/>
            <w:gridCol w:w="2320"/>
            <w:gridCol w:w="10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Sustancia</w:t>
            </w:r>
          </w:p>
          <w:p w:rsidR="00000000" w:rsidDel="00000000" w:rsidP="00000000" w:rsidRDefault="00000000" w:rsidRPr="00000000" w14:paraId="0000010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Límite de cuantificación del método empleado</w:t>
            </w:r>
          </w:p>
          <w:p w:rsidR="00000000" w:rsidDel="00000000" w:rsidP="00000000" w:rsidRDefault="00000000" w:rsidRPr="00000000" w14:paraId="0000010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(mg/kg)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D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muestreo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Nivel Guía</w:t>
            </w:r>
          </w:p>
          <w:p w:rsidR="00000000" w:rsidDel="00000000" w:rsidP="00000000" w:rsidRDefault="00000000" w:rsidRPr="00000000" w14:paraId="0000010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(mg/kg)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2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3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Protocolo de informe y Cadena de Custodia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Protocolo de informe y Cadena de Custodia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Protocolo de informe y Cadena de Custodia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en el plano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en el plano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Identificación de la muestra en el plano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12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6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127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12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12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(mg/kg)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130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(mg/kg)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132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(mg/kg)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0">
            <w:pPr>
              <w:spacing w:after="0" w:line="3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Características organolépticas a mencionar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(olor leve, olor intenso, color, película oleosa,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  <w:sectPr>
          <w:type w:val="nextPage"/>
          <w:pgSz w:h="11906" w:w="16838" w:orient="landscape"/>
          <w:pgMar w:bottom="1418" w:top="1701" w:left="1134" w:right="1134" w:header="567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Análisis de datos</w:t>
      </w: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Incorporar diagrama cartesiano con variación del nivel freático en el tiempo.</w:t>
      </w:r>
    </w:p>
    <w:p w:rsidR="00000000" w:rsidDel="00000000" w:rsidP="00000000" w:rsidRDefault="00000000" w:rsidRPr="00000000" w14:paraId="00000149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sentido de escurrimiento, el gradiente, e incorporar Mapa equipotencial.</w:t>
      </w:r>
    </w:p>
    <w:p w:rsidR="00000000" w:rsidDel="00000000" w:rsidP="00000000" w:rsidRDefault="00000000" w:rsidRPr="00000000" w14:paraId="0000014A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Análisis de tendencia de las concentraciones en el tiempo (analizar estadísticamente la evolución temporal de las concentraciones de los compuestos de interés presentes en el agua subterránea).</w:t>
      </w:r>
    </w:p>
    <w:p w:rsidR="00000000" w:rsidDel="00000000" w:rsidP="00000000" w:rsidRDefault="00000000" w:rsidRPr="00000000" w14:paraId="0000014B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si se aprecia variación en el tiempo de los parámetros analizados con las oscilaciones del nivel freático.</w:t>
      </w:r>
    </w:p>
    <w:p w:rsidR="00000000" w:rsidDel="00000000" w:rsidP="00000000" w:rsidRDefault="00000000" w:rsidRPr="00000000" w14:paraId="0000014C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Presentar Mapa de isoconcentraciones para cada analito que excede lo normado.</w:t>
      </w:r>
    </w:p>
    <w:p w:rsidR="00000000" w:rsidDel="00000000" w:rsidP="00000000" w:rsidRDefault="00000000" w:rsidRPr="00000000" w14:paraId="0000014D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 corresponder, verificar tendencias de atenuación natural mediante monitoreo de indicadores de biodegradación.-</w:t>
      </w:r>
    </w:p>
    <w:p w:rsidR="00000000" w:rsidDel="00000000" w:rsidP="00000000" w:rsidRDefault="00000000" w:rsidRPr="00000000" w14:paraId="0000014E">
      <w:pPr>
        <w:spacing w:after="0" w:line="340" w:lineRule="auto"/>
        <w:ind w:left="113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mallCap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Fase Líquida no acuosa</w:t>
      </w: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rtl w:val="0"/>
        </w:rPr>
        <w:t xml:space="preserve">.</w:t>
      </w:r>
    </w:p>
    <w:tbl>
      <w:tblPr>
        <w:tblStyle w:val="Table8"/>
        <w:tblW w:w="985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4"/>
        <w:gridCol w:w="801"/>
        <w:gridCol w:w="2916"/>
        <w:gridCol w:w="1208"/>
        <w:gridCol w:w="1208"/>
        <w:gridCol w:w="1208"/>
        <w:tblGridChange w:id="0">
          <w:tblGrid>
            <w:gridCol w:w="2514"/>
            <w:gridCol w:w="801"/>
            <w:gridCol w:w="2916"/>
            <w:gridCol w:w="1208"/>
            <w:gridCol w:w="1208"/>
            <w:gridCol w:w="120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Identificación</w:t>
            </w:r>
          </w:p>
          <w:p w:rsidR="00000000" w:rsidDel="00000000" w:rsidP="00000000" w:rsidRDefault="00000000" w:rsidRPr="00000000" w14:paraId="00000151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 la medida/muestra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*1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Presencia/Ausencia de FLNA</w:t>
            </w:r>
          </w:p>
          <w:p w:rsidR="00000000" w:rsidDel="00000000" w:rsidP="00000000" w:rsidRDefault="00000000" w:rsidRPr="00000000" w14:paraId="0000015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 iridiscencia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Espesor de FLNA</w:t>
            </w:r>
          </w:p>
          <w:p w:rsidR="00000000" w:rsidDel="00000000" w:rsidP="00000000" w:rsidRDefault="00000000" w:rsidRPr="00000000" w14:paraId="0000015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en pozo (m)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Espesor real de FLNA (m)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Densidad</w:t>
            </w:r>
          </w:p>
          <w:p w:rsidR="00000000" w:rsidDel="00000000" w:rsidP="00000000" w:rsidRDefault="00000000" w:rsidRPr="00000000" w14:paraId="00000159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(g/cm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mallCap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volumen recuperado*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y detallar si hizo estudios complementarios para evaluar la eficiencia de la remediación (transmisividad, análisis de degradación, recuperación final esperada, etc.).</w:t>
      </w:r>
    </w:p>
    <w:p w:rsidR="00000000" w:rsidDel="00000000" w:rsidP="00000000" w:rsidRDefault="00000000" w:rsidRPr="00000000" w14:paraId="00000163">
      <w:pPr>
        <w:numPr>
          <w:ilvl w:val="2"/>
          <w:numId w:val="1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¿Se aprecia relación entre la detección de FLNA en cada pozo con la oscilación del nivel freático?.-</w:t>
      </w:r>
    </w:p>
    <w:p w:rsidR="00000000" w:rsidDel="00000000" w:rsidP="00000000" w:rsidRDefault="00000000" w:rsidRPr="00000000" w14:paraId="00000164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vertAlign w:val="superscript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almacenamiento temporario y retiro.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Acreditar en formato tabla, donde se consignen los números de manifiesto de transporte, certificado de tratamiento y disposición final junto con la empresa interviniente y la fecha de retiro. </w:t>
      </w:r>
    </w:p>
    <w:p w:rsidR="00000000" w:rsidDel="00000000" w:rsidP="00000000" w:rsidRDefault="00000000" w:rsidRPr="00000000" w14:paraId="00000166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4: TRÁMITES COMPLEMENTARIOS EN OTRAS DEPENDENCIAS</w:t>
      </w:r>
    </w:p>
    <w:p w:rsidR="00000000" w:rsidDel="00000000" w:rsidP="00000000" w:rsidRDefault="00000000" w:rsidRPr="00000000" w14:paraId="00000169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PARA AMPLIAR RED DE MONITOREO – PARA OBTENER PERMISO DE VUELCO </w:t>
      </w:r>
    </w:p>
    <w:p w:rsidR="00000000" w:rsidDel="00000000" w:rsidP="00000000" w:rsidRDefault="00000000" w:rsidRPr="00000000" w14:paraId="0000016A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0"/>
        <w:tblW w:w="876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0"/>
        <w:gridCol w:w="1821"/>
        <w:gridCol w:w="1581"/>
        <w:gridCol w:w="1134"/>
        <w:gridCol w:w="1418"/>
        <w:gridCol w:w="1559"/>
        <w:tblGridChange w:id="0">
          <w:tblGrid>
            <w:gridCol w:w="1250"/>
            <w:gridCol w:w="1821"/>
            <w:gridCol w:w="1581"/>
            <w:gridCol w:w="1134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Motivo del TRÁMITE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ORGANISMO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DEPENDENCIA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FECHA DE 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Nº DE EXPEDIENTE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CONSTANCIA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ADA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Municipio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Operador de servicios (ABSA, AySA, otro)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Otro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8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Trámite: indicar si es por solicitud de interferencias, permiso de vuelco, permiso de </w:t>
            </w:r>
          </w:p>
          <w:p w:rsidR="00000000" w:rsidDel="00000000" w:rsidP="00000000" w:rsidRDefault="00000000" w:rsidRPr="00000000" w14:paraId="0000018D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perforación, etc.; Dependencia: en qué área del organismo indicado se presentó la solicitud; Impulso: demostrar impulso para concretar el trámite. </w:t>
            </w:r>
          </w:p>
        </w:tc>
      </w:tr>
    </w:tbl>
    <w:p w:rsidR="00000000" w:rsidDel="00000000" w:rsidP="00000000" w:rsidRDefault="00000000" w:rsidRPr="00000000" w14:paraId="00000193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5: INTERPRETACIONES Y CONCLUSIONES DE LA SITUACIÓN AMBIENTAL DEL SITIO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1"/>
          <w:numId w:val="3"/>
        </w:numPr>
        <w:spacing w:after="0" w:line="276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Interpretaciones y conclusiones de la situación ambiental del sitio elaboradas por la remediadora / profesional actuante en relación a la evaluación de riesgo aplicada.</w:t>
      </w:r>
    </w:p>
    <w:p w:rsidR="00000000" w:rsidDel="00000000" w:rsidP="00000000" w:rsidRDefault="00000000" w:rsidRPr="00000000" w14:paraId="0000019A">
      <w:pPr>
        <w:shd w:fill="f2f2f2" w:val="clear"/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1"/>
          <w:numId w:val="3"/>
        </w:numPr>
        <w:spacing w:after="0" w:line="276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Cumplimiento con la normativa y el acto administrativo que otorga las tareas de remediación elaboradas por la remediadora / profesional actuante en relación a la evaluación de riesgo aplicada</w:t>
      </w:r>
    </w:p>
    <w:p w:rsidR="00000000" w:rsidDel="00000000" w:rsidP="00000000" w:rsidRDefault="00000000" w:rsidRPr="00000000" w14:paraId="0000019C">
      <w:pPr>
        <w:shd w:fill="f2f2f2" w:val="clear"/>
        <w:spacing w:after="0" w:line="276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6: INCORPORE TODA OTRA INFORMACIÓN COMPLEMENTARIA QUE CONSIDERE NECESARIA Y/O QUE SE HAYA ESPECIFICADO EN EL ARTICULADO DEL ACTO ADMINISTRATIVO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1"/>
          <w:numId w:val="2"/>
        </w:numPr>
        <w:shd w:fill="f2f2f2" w:val="clear"/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Incorporar otro comentario que la remediadora / profesional actuante considere.</w:t>
      </w:r>
    </w:p>
    <w:p w:rsidR="00000000" w:rsidDel="00000000" w:rsidP="00000000" w:rsidRDefault="00000000" w:rsidRPr="00000000" w14:paraId="000001A3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200" w:line="360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hd w:fill="fdeada" w:val="clear"/>
        <w:spacing w:after="200" w:line="276" w:lineRule="auto"/>
        <w:ind w:left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y Aclaración</w:t>
      </w:r>
    </w:p>
    <w:p w:rsidR="00000000" w:rsidDel="00000000" w:rsidP="00000000" w:rsidRDefault="00000000" w:rsidRPr="00000000" w14:paraId="000001AA">
      <w:pPr>
        <w:shd w:fill="fdeada" w:val="clear"/>
        <w:spacing w:after="200" w:line="276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……………………………………………………</w:t>
        <w:tab/>
        <w:tab/>
        <w:tab/>
        <w:tab/>
        <w:tab/>
        <w:t xml:space="preserve">…………………………………………….</w:t>
      </w:r>
    </w:p>
    <w:p w:rsidR="00000000" w:rsidDel="00000000" w:rsidP="00000000" w:rsidRDefault="00000000" w:rsidRPr="00000000" w14:paraId="000001AB">
      <w:pPr>
        <w:shd w:fill="fdeada" w:val="clear"/>
        <w:spacing w:after="200" w:line="276" w:lineRule="auto"/>
        <w:ind w:left="2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Responsable de la Contaminación </w:t>
        <w:tab/>
        <w:tab/>
        <w:tab/>
        <w:tab/>
        <w:tab/>
        <w:tab/>
        <w:t xml:space="preserve">Profesional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RUPAYAR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701" w:left="1134" w:right="1134" w:header="567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2901865</wp:posOffset>
          </wp:positionH>
          <wp:positionV relativeFrom="paragraph">
            <wp:posOffset>5716</wp:posOffset>
          </wp:positionV>
          <wp:extent cx="4122571" cy="13193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2571" cy="13193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000000"/>
        <w:sz w:val="20"/>
        <w:szCs w:val="20"/>
        <w:rtl w:val="0"/>
      </w:rPr>
      <w:t xml:space="preserve">Ministerio de Ambiente</w:t>
    </w:r>
    <w:r w:rsidDel="00000000" w:rsidR="00000000" w:rsidRPr="00000000">
      <w:rPr>
        <w:rFonts w:ascii="Encode Sans SemiBold" w:cs="Encode Sans SemiBold" w:eastAsia="Encode Sans SemiBold" w:hAnsi="Encode Sans SemiBold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Calle 12 y 53 Torre 2, Piso 14</w:t>
    </w:r>
  </w:p>
  <w:p w:rsidR="00000000" w:rsidDel="00000000" w:rsidP="00000000" w:rsidRDefault="00000000" w:rsidRPr="00000000" w14:paraId="000001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6930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Buenos Aires, La Plata</w:t>
    </w: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ab/>
    </w:r>
  </w:p>
  <w:p w:rsidR="00000000" w:rsidDel="00000000" w:rsidP="00000000" w:rsidRDefault="00000000" w:rsidRPr="00000000" w14:paraId="000001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Tel. 429 - 5579</w:t>
    </w:r>
  </w:p>
  <w:p w:rsidR="00000000" w:rsidDel="00000000" w:rsidP="00000000" w:rsidRDefault="00000000" w:rsidRPr="00000000" w14:paraId="000001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ambiente.gba.gob.ar</w:t>
    </w:r>
  </w:p>
  <w:p w:rsidR="00000000" w:rsidDel="00000000" w:rsidP="00000000" w:rsidRDefault="00000000" w:rsidRPr="00000000" w14:paraId="000001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53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1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538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  <w:tab/>
    </w:r>
  </w:p>
  <w:p w:rsidR="00000000" w:rsidDel="00000000" w:rsidP="00000000" w:rsidRDefault="00000000" w:rsidRPr="00000000" w14:paraId="000001AE">
    <w:pP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Verdana" w:cs="Verdana" w:eastAsia="Verdana" w:hAnsi="Verdana"/>
        <w:b w:val="1"/>
        <w:bCs w:val="1"/>
        <w:color w:val="80808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08080"/>
        <w:sz w:val="20"/>
        <w:szCs w:val="20"/>
        <w:rtl w:val="0"/>
      </w:rPr>
      <w:t xml:space="preserve">FORMULARIO 6: Avance Tareas de Remediación</w:t>
    </w:r>
  </w:p>
  <w:p w:rsidR="00000000" w:rsidDel="00000000" w:rsidP="00000000" w:rsidRDefault="00000000" w:rsidRPr="00000000" w14:paraId="000001AF">
    <w:pP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Verdana" w:cs="Verdana" w:eastAsia="Verdana" w:hAnsi="Verdana"/>
        <w:b w:val="1"/>
        <w:bCs w:val="1"/>
        <w:color w:val="80808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0808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abstractNum w:abstractNumId="2">
    <w:lvl w:ilvl="0">
      <w:start w:val="6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abstractNum w:abstractNumId="3">
    <w:lvl w:ilvl="0">
      <w:start w:val="5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-regular.ttf"/><Relationship Id="rId4" Type="http://schemas.openxmlformats.org/officeDocument/2006/relationships/font" Target="fonts/EncodeSans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